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pPr>
      <w:r>
        <w:rPr>
          <w:rFonts w:ascii="Aptos" w:hAnsi="Aptos" w:eastAsia="Aptos"/>
          <w:b/>
          <w:i w:val="0"/>
          <w:color w:val="006F7C"/>
          <w:sz w:val="17"/>
        </w:rPr>
        <w:t>JOURNAL INFORMATION</w:t>
      </w:r>
    </w:p>
    <w:p>
      <w:pPr>
        <w:pStyle w:val="Title"/>
      </w:pPr>
      <w:r>
        <w:t>Aims and Scope</w:t>
      </w:r>
    </w:p>
    <w:p>
      <w:pPr>
        <w:spacing w:after="240"/>
      </w:pPr>
      <w:r>
        <w:rPr>
          <w:color w:val="5C6D79"/>
          <w:sz w:val="22"/>
        </w:rPr>
        <w:t>Economics, management, engineering and knowledge-driven development</w:t>
      </w:r>
    </w:p>
    <w:p>
      <w:r>
        <w:rPr>
          <w:color w:val="20313B"/>
          <w:sz w:val="19"/>
        </w:rPr>
        <w:t>KSI Transactions on Knowledge Society is an international, peer-reviewed scholarly journal published by the Knowledge Society Institute, Bulgaria. It provides a forum for research in economics, management, engineering and related disciplines concerned with the creation, dissemination and application of knowledge, innovation and technology. The journal welcomes both disciplinary and interdisciplinary contributions.</w:t>
      </w:r>
    </w:p>
    <w:p>
      <w:pPr>
        <w:pStyle w:val="Heading1"/>
        <w:spacing w:before="220" w:after="100"/>
      </w:pPr>
      <w:r>
        <w:t>Aims</w:t>
      </w:r>
    </w:p>
    <w:p>
      <w:r>
        <w:rPr>
          <w:color w:val="20313B"/>
          <w:sz w:val="19"/>
        </w:rPr>
        <w:t>The journal aims to advance rigorous scientific inquiry into economic and business development, management and organisational performance, human capital, engineering systems, emerging technologies and sustainable development. It encourages research that engages critically with existing scholarship, addresses clearly defined problems and contributes to theory, methodology or evidence-based practice.</w:t>
      </w:r>
    </w:p>
    <w:p>
      <w:r>
        <w:rPr>
          <w:color w:val="20313B"/>
          <w:sz w:val="19"/>
        </w:rPr>
        <w:t>The journal values empirical investigations, conceptual and theoretical research, quantitative and qualitative methods, mathematical and computational modelling, engineering design and evaluation, and carefully substantiated practical applications. A manuscript may be grounded primarily in one discipline; combining economic, managerial and engineering perspectives in a single article is not a prerequisite for consideration.</w:t>
      </w:r>
    </w:p>
    <w:p>
      <w:pPr>
        <w:pStyle w:val="Heading1"/>
        <w:spacing w:before="220" w:after="100"/>
      </w:pPr>
      <w:r>
        <w:t>Principal Areas of Interest</w:t>
      </w:r>
    </w:p>
    <w:p>
      <w:pPr>
        <w:keepLines/>
        <w:spacing w:after="60"/>
      </w:pPr>
      <w:r>
        <w:rPr>
          <w:b/>
          <w:color w:val="20313B"/>
          <w:sz w:val="19"/>
        </w:rPr>
        <w:t>Economics, Finance and Business Studies.</w:t>
      </w:r>
      <w:r>
        <w:rPr>
          <w:b w:val="0"/>
          <w:color w:val="20313B"/>
          <w:sz w:val="19"/>
        </w:rPr>
        <w:t xml:space="preserve"> Applied and business economics; economic growth and productivity; labour and regional economics; financial management and investment; accounting and management control; marketing, consumer and market analysis; economic modelling and the digital economy.</w:t>
      </w:r>
    </w:p>
    <w:p>
      <w:pPr>
        <w:keepLines/>
        <w:spacing w:after="60"/>
      </w:pPr>
      <w:r>
        <w:rPr>
          <w:b/>
          <w:color w:val="20313B"/>
          <w:sz w:val="19"/>
        </w:rPr>
        <w:t>Management, Strategy and Human Resources.</w:t>
      </w:r>
      <w:r>
        <w:rPr>
          <w:b w:val="0"/>
          <w:color w:val="20313B"/>
          <w:sz w:val="19"/>
        </w:rPr>
        <w:t xml:space="preserve"> General and strategic management; human resource management; talent management and workforce planning; leadership; organisational behaviour and culture; employee engagement; performance and change management; risk and corporate governance.</w:t>
      </w:r>
    </w:p>
    <w:p>
      <w:pPr>
        <w:keepLines/>
        <w:spacing w:after="60"/>
      </w:pPr>
      <w:r>
        <w:rPr>
          <w:b/>
          <w:color w:val="20313B"/>
          <w:sz w:val="19"/>
        </w:rPr>
        <w:t>Operations, Logistics and Project Management.</w:t>
      </w:r>
      <w:r>
        <w:rPr>
          <w:b w:val="0"/>
          <w:color w:val="20313B"/>
          <w:sz w:val="19"/>
        </w:rPr>
        <w:t xml:space="preserve"> Operations and production management; logistics and supply chains; project, programme and portfolio management; process improvement; quality and performance management; operations research; decision-support systems and organisational resilience.</w:t>
      </w:r>
    </w:p>
    <w:p>
      <w:pPr>
        <w:keepLines/>
        <w:spacing w:after="60"/>
      </w:pPr>
      <w:r>
        <w:rPr>
          <w:b/>
          <w:color w:val="20313B"/>
          <w:sz w:val="19"/>
        </w:rPr>
        <w:t>Artificial Intelligence, Information Systems and Digital Transformation.</w:t>
      </w:r>
      <w:r>
        <w:rPr>
          <w:b w:val="0"/>
          <w:color w:val="20313B"/>
          <w:sz w:val="19"/>
        </w:rPr>
        <w:t xml:space="preserve"> AI and machine learning applications; multi-agent systems; human–AI collaboration; knowledge and information systems; business analytics; digital platforms; data-driven decisions; automation and the digital transformation of organisations and industry.</w:t>
      </w:r>
    </w:p>
    <w:p>
      <w:pPr>
        <w:keepLines/>
        <w:spacing w:after="60"/>
      </w:pPr>
      <w:r>
        <w:rPr>
          <w:b/>
          <w:color w:val="20313B"/>
          <w:sz w:val="19"/>
        </w:rPr>
        <w:t>Innovation, Entrepreneurship and Competitiveness.</w:t>
      </w:r>
      <w:r>
        <w:rPr>
          <w:b w:val="0"/>
          <w:color w:val="20313B"/>
          <w:sz w:val="19"/>
        </w:rPr>
        <w:t xml:space="preserve"> Innovation management; research and development; entrepreneurship and start-ups; small and medium-sized enterprises; high-growth and technology-intensive firms; technology transfer; business models; industrial and international competitiveness.</w:t>
      </w:r>
    </w:p>
    <w:p>
      <w:pPr>
        <w:keepLines/>
        <w:spacing w:after="60"/>
      </w:pPr>
      <w:r>
        <w:rPr>
          <w:b/>
          <w:color w:val="20313B"/>
          <w:sz w:val="19"/>
        </w:rPr>
        <w:t>Knowledge Management, Education and Human Capital.</w:t>
      </w:r>
      <w:r>
        <w:rPr>
          <w:b w:val="0"/>
          <w:color w:val="20313B"/>
          <w:sz w:val="19"/>
        </w:rPr>
        <w:t xml:space="preserve"> Knowledge creation, sharing and transfer; intellectual capital; learning organisations; education and training management; professional competencies; lifelong learning; skills development and the adaptation of workforces to technological change.</w:t>
      </w:r>
    </w:p>
    <w:p>
      <w:pPr>
        <w:keepLines/>
        <w:spacing w:after="60"/>
      </w:pPr>
      <w:r>
        <w:rPr>
          <w:b/>
          <w:color w:val="20313B"/>
          <w:sz w:val="19"/>
        </w:rPr>
        <w:t>Engineering and High-Technology Applications.</w:t>
      </w:r>
      <w:r>
        <w:rPr>
          <w:b w:val="0"/>
          <w:color w:val="20313B"/>
          <w:sz w:val="19"/>
        </w:rPr>
        <w:t xml:space="preserve"> Applied research in industrial, manufacturing, mechanical, electrical, energy, software, automation, control, environmental and infrastructure engineering; engineering design and optimisation; intelligent and cyber-physical systems; robotics and sustainable technological solutions.</w:t>
      </w:r>
    </w:p>
    <w:p>
      <w:pPr>
        <w:keepLines/>
        <w:spacing w:after="60"/>
      </w:pPr>
      <w:r>
        <w:rPr>
          <w:b/>
          <w:color w:val="20313B"/>
          <w:sz w:val="19"/>
        </w:rPr>
        <w:t>Sustainable Development, Environment and Energy.</w:t>
      </w:r>
      <w:r>
        <w:rPr>
          <w:b w:val="0"/>
          <w:color w:val="20313B"/>
          <w:sz w:val="19"/>
        </w:rPr>
        <w:t xml:space="preserve"> Circular economy; environmental management and monitoring; energy systems and infrastructure resilience; renewable energy; efficient use of resources; climate-related risk; sustainable production; environmental, social and governance (ESG) practices.</w:t>
      </w:r>
    </w:p>
    <w:p>
      <w:pPr>
        <w:keepLines/>
        <w:spacing w:after="60"/>
      </w:pPr>
      <w:r>
        <w:rPr>
          <w:b/>
          <w:color w:val="20313B"/>
          <w:sz w:val="19"/>
        </w:rPr>
        <w:t>Governance, Public Policy and Regional Development.</w:t>
      </w:r>
      <w:r>
        <w:rPr>
          <w:b w:val="0"/>
          <w:color w:val="20313B"/>
          <w:sz w:val="19"/>
        </w:rPr>
        <w:t xml:space="preserve"> Public and institutional management; regulatory efficiency; innovation, industrial and sustainability policy; digital government; public services; regional development and competitiveness; relationships among institutions, business and society.</w:t>
      </w:r>
    </w:p>
    <w:p>
      <w:pPr>
        <w:spacing w:before="80" w:after="80"/>
      </w:pPr>
      <w:r>
        <w:rPr>
          <w:color w:val="20313B"/>
          <w:sz w:val="19"/>
        </w:rPr>
        <w:t>These areas are indicative rather than exhaustive. Research rooted primarily in economics, management or engineering is equally welcome, provided it offers a clear scholarly contribution within the journal’s remit. Relevant work from related disciplines is also considered; authors should explain its connection to knowledge, innovation, organisational or economic development, technological progress, sustainability or societal needs.</w:t>
      </w:r>
    </w:p>
    <w:p>
      <w:pPr>
        <w:pStyle w:val="Heading1"/>
        <w:spacing w:before="220" w:after="100"/>
      </w:pPr>
      <w:r>
        <w:t>Types of Scholarly Contributions</w:t>
      </w:r>
    </w:p>
    <w:p>
      <w:r>
        <w:rPr>
          <w:rFonts w:ascii="Aptos" w:hAnsi="Aptos" w:eastAsia="Aptos"/>
          <w:b w:val="0"/>
          <w:i w:val="0"/>
          <w:color w:val="20313B"/>
          <w:sz w:val="19"/>
        </w:rPr>
        <w:t>The journal considers original research articles, review articles, theoretical or conceptual studies, methodological papers and research-based case studies. Each manuscript must clearly identify its purpose, scholarly contribution, research approach and the evidential basis for its conclusions. A conceptual study is not required to claim experimental validation, but it must offer a substantial, critically grounded contribution.</w:t>
      </w:r>
    </w:p>
    <w:p>
      <w:pPr>
        <w:pStyle w:val="Heading1"/>
        <w:spacing w:before="220" w:after="100"/>
      </w:pPr>
      <w:r>
        <w:t>Editorial Standards and Scope Decisions</w:t>
      </w:r>
    </w:p>
    <w:p>
      <w:r>
        <w:rPr>
          <w:rFonts w:ascii="Aptos" w:hAnsi="Aptos" w:eastAsia="Aptos"/>
          <w:b w:val="0"/>
          <w:i w:val="0"/>
          <w:color w:val="20313B"/>
          <w:sz w:val="19"/>
        </w:rPr>
        <w:t>Every scholarly article accepted for publication undergoes double-anonymous peer review by at least two independent qualified reviewers. Manuscripts are evaluated for originality, scientific relevance, methodological soundness, clarity, research integrity and consistency between the evidence and the conclusions. Articles that are primarily promotional, speculative without adequate scholarly support, or outside the journal’s scope may be declined at the initial editorial screening stage.</w:t>
      </w:r>
    </w:p>
    <w:p>
      <w:r>
        <w:rPr>
          <w:rFonts w:ascii="Aptos" w:hAnsi="Aptos" w:eastAsia="Aptos"/>
          <w:b w:val="0"/>
          <w:i w:val="0"/>
          <w:color w:val="20313B"/>
          <w:sz w:val="19"/>
        </w:rPr>
        <w:t>Authors must follow the journal’s Author Guidelines and applicable editorial policies. Universal Decimal Classification (UDC) and Journal of Economic Literature (JEL) codes are required for all submitted scholarly articles. References must follow APA 7.</w:t>
      </w:r>
    </w:p>
    <w:p>
      <w:pPr>
        <w:pStyle w:val="Heading1"/>
        <w:spacing w:before="220" w:after="100"/>
      </w:pPr>
      <w:r>
        <w:t>Access and Publication Model</w:t>
      </w:r>
    </w:p>
    <w:p>
      <w:r>
        <w:rPr>
          <w:rFonts w:ascii="Aptos" w:hAnsi="Aptos" w:eastAsia="Aptos"/>
          <w:b w:val="0"/>
          <w:i w:val="0"/>
          <w:color w:val="20313B"/>
          <w:sz w:val="19"/>
        </w:rPr>
        <w:t>The journal operates under a Diamond Open Access model. Authors and readers are not charged for submission, peer review, publication or access. Scholarly articles first published on or after 1 January 2026 are released under the Creative Commons Attribution 4.0 International License (CC BY 4.0), subject to properly identified third-party rights. Earlier publications retain their applicable historical licensing conditions.</w:t>
      </w:r>
    </w:p>
    <w:p>
      <w:pPr>
        <w:spacing w:before="120"/>
      </w:pPr>
      <w:r>
        <w:rPr>
          <w:rFonts w:ascii="Aptos" w:hAnsi="Aptos" w:eastAsia="Aptos"/>
          <w:b w:val="0"/>
          <w:i w:val="0"/>
          <w:color w:val="5C6D79"/>
          <w:sz w:val="18"/>
        </w:rPr>
        <w:t>Detailed provisions on peer review, publication ethics, copyright, licensing, fees, digital preservation and post-publication corrections are published in the journal’s editorial policies.</w:t>
      </w:r>
    </w:p>
    <w:sectPr w:rsidR="00FC693F" w:rsidRPr="0006063C" w:rsidSect="00034616">
      <w:headerReference w:type="default" r:id="rId9"/>
      <w:footerReference w:type="default" r:id="rId10"/>
      <w:pgSz w:w="11906" w:h="16838"/>
      <w:pgMar w:top="1162" w:right="1219" w:bottom="1049" w:left="1219" w:header="482"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val="0"/>
        <w:i w:val="0"/>
        <w:color w:val="5C6D79"/>
        <w:sz w:val="16"/>
      </w:rPr>
      <w:t>KNOWLEDGE SOCIETY INSTITUTE   |   www.tksi.org   |   office@tksi.org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eastAsia="Aptos"/>
        <w:b/>
        <w:i w:val="0"/>
        <w:color w:val="143A52"/>
        <w:sz w:val="16"/>
      </w:rPr>
      <w:t>KSI  /  TRANSACTIONS ON KNOWLEDGE SOCIETY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Aptos" w:hAnsi="Aptos"/>
      <w:color w:val="2031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ptos" w:hAnsi="Aptos"/>
      <w:b/>
      <w:bCs/>
      <w:color w:val="143A52"/>
      <w:sz w:val="2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w:hAnsi="Aptos"/>
      <w:b/>
      <w:bCs/>
      <w:color w:val="006F7C"/>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143A52"/>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