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pPr>
      <w:r>
        <w:rPr>
          <w:rFonts w:ascii="Aptos" w:hAnsi="Aptos" w:eastAsia="Aptos"/>
          <w:b/>
          <w:i w:val="0"/>
          <w:color w:val="006F7C"/>
          <w:sz w:val="17"/>
        </w:rPr>
        <w:t>JOURNAL INFORMATION</w:t>
      </w:r>
    </w:p>
    <w:p>
      <w:pPr>
        <w:pStyle w:val="Title"/>
      </w:pPr>
      <w:r>
        <w:t>Publisher Information</w:t>
      </w:r>
    </w:p>
    <w:p>
      <w:pPr>
        <w:spacing w:after="240"/>
      </w:pPr>
      <w:r>
        <w:rPr>
          <w:rFonts w:ascii="Aptos" w:hAnsi="Aptos" w:eastAsia="Aptos"/>
          <w:b w:val="0"/>
          <w:i w:val="0"/>
          <w:color w:val="5C6D79"/>
          <w:sz w:val="22"/>
        </w:rPr>
        <w:t>Institutional responsibility, contact details and transparent scholarly publishing</w:t>
      </w:r>
    </w:p>
    <w:p>
      <w:pPr>
        <w:pStyle w:val="Heading1"/>
      </w:pPr>
      <w:r>
        <w:t>Publisher and Journal</w:t>
      </w:r>
    </w:p>
    <w:tbl>
      <w:tblPr>
        <w:tblW w:type="auto" w:w="0"/>
        <w:tblLayout w:type="fixed"/>
        <w:tblLook w:firstColumn="1" w:firstRow="1" w:lastColumn="0" w:lastRow="0" w:noHBand="0" w:noVBand="1" w:val="04A0"/>
      </w:tblPr>
      <w:tblGrid>
        <w:gridCol w:w="2835"/>
        <w:gridCol w:w="6633"/>
      </w:tblGrid>
      <w:tr>
        <w:tc>
          <w:tcPr>
            <w:tcW w:type="dxa" w:w="2835"/>
            <w:tcMar>
              <w:top w:w="105" w:type="dxa"/>
              <w:start w:w="115" w:type="dxa"/>
              <w:bottom w:w="105" w:type="dxa"/>
              <w:end w:w="115" w:type="dxa"/>
            </w:tcMar>
            <w:shd w:fill="EAF3F5"/>
          </w:tcPr>
          <w:p>
            <w:r/>
            <w:r>
              <w:rPr>
                <w:rFonts w:ascii="Aptos" w:hAnsi="Aptos" w:eastAsia="Aptos"/>
                <w:b/>
                <w:i w:val="0"/>
                <w:color w:val="143A52"/>
                <w:sz w:val="18"/>
              </w:rPr>
              <w:t>Journal title</w:t>
            </w:r>
          </w:p>
        </w:tc>
        <w:tc>
          <w:tcPr>
            <w:tcW w:type="dxa" w:w="6633"/>
            <w:tcMar>
              <w:top w:w="105" w:type="dxa"/>
              <w:start w:w="115" w:type="dxa"/>
              <w:bottom w:w="105" w:type="dxa"/>
              <w:end w:w="115" w:type="dxa"/>
            </w:tcMar>
          </w:tcPr>
          <w:p>
            <w:r/>
            <w:r>
              <w:rPr>
                <w:rFonts w:ascii="Aptos" w:hAnsi="Aptos" w:eastAsia="Aptos"/>
                <w:b w:val="0"/>
                <w:i w:val="0"/>
                <w:color w:val="20313B"/>
                <w:sz w:val="19"/>
              </w:rPr>
              <w:t>KSI Transactions on Knowledge Society</w:t>
            </w:r>
          </w:p>
        </w:tc>
      </w:tr>
      <w:tr>
        <w:tc>
          <w:tcPr>
            <w:tcW w:type="dxa" w:w="2835"/>
            <w:tcMar>
              <w:top w:w="105" w:type="dxa"/>
              <w:start w:w="115" w:type="dxa"/>
              <w:bottom w:w="105" w:type="dxa"/>
              <w:end w:w="115" w:type="dxa"/>
            </w:tcMar>
            <w:shd w:fill="EAF3F5"/>
          </w:tcPr>
          <w:p>
            <w:r/>
            <w:r>
              <w:rPr>
                <w:rFonts w:ascii="Aptos" w:hAnsi="Aptos" w:eastAsia="Aptos"/>
                <w:b/>
                <w:i w:val="0"/>
                <w:color w:val="143A52"/>
                <w:sz w:val="18"/>
              </w:rPr>
              <w:t>Publisher</w:t>
            </w:r>
          </w:p>
        </w:tc>
        <w:tc>
          <w:tcPr>
            <w:tcW w:type="dxa" w:w="6633"/>
            <w:tcMar>
              <w:top w:w="105" w:type="dxa"/>
              <w:start w:w="115" w:type="dxa"/>
              <w:bottom w:w="105" w:type="dxa"/>
              <w:end w:w="115" w:type="dxa"/>
            </w:tcMar>
          </w:tcPr>
          <w:p>
            <w:r/>
            <w:r>
              <w:rPr>
                <w:rFonts w:ascii="Aptos" w:hAnsi="Aptos" w:eastAsia="Aptos"/>
                <w:b w:val="0"/>
                <w:i w:val="0"/>
                <w:color w:val="20313B"/>
                <w:sz w:val="19"/>
              </w:rPr>
              <w:t>Knowledge Society Institute</w:t>
            </w:r>
          </w:p>
        </w:tc>
      </w:tr>
      <w:tr>
        <w:tc>
          <w:tcPr>
            <w:tcW w:type="dxa" w:w="2835"/>
            <w:tcMar>
              <w:top w:w="105" w:type="dxa"/>
              <w:start w:w="115" w:type="dxa"/>
              <w:bottom w:w="105" w:type="dxa"/>
              <w:end w:w="115" w:type="dxa"/>
            </w:tcMar>
            <w:shd w:fill="EAF3F5"/>
          </w:tcPr>
          <w:p>
            <w:r/>
            <w:r>
              <w:rPr>
                <w:rFonts w:ascii="Aptos" w:hAnsi="Aptos" w:eastAsia="Aptos"/>
                <w:b/>
                <w:i w:val="0"/>
                <w:color w:val="143A52"/>
                <w:sz w:val="18"/>
              </w:rPr>
              <w:t>Country</w:t>
            </w:r>
          </w:p>
        </w:tc>
        <w:tc>
          <w:tcPr>
            <w:tcW w:type="dxa" w:w="6633"/>
            <w:tcMar>
              <w:top w:w="105" w:type="dxa"/>
              <w:start w:w="115" w:type="dxa"/>
              <w:bottom w:w="105" w:type="dxa"/>
              <w:end w:w="115" w:type="dxa"/>
            </w:tcMar>
          </w:tcPr>
          <w:p>
            <w:r/>
            <w:r>
              <w:rPr>
                <w:rFonts w:ascii="Aptos" w:hAnsi="Aptos" w:eastAsia="Aptos"/>
                <w:b w:val="0"/>
                <w:i w:val="0"/>
                <w:color w:val="20313B"/>
                <w:sz w:val="19"/>
              </w:rPr>
              <w:t>Bulgaria</w:t>
            </w:r>
          </w:p>
        </w:tc>
      </w:tr>
      <w:tr>
        <w:tc>
          <w:tcPr>
            <w:tcW w:type="dxa" w:w="2835"/>
            <w:tcMar>
              <w:top w:w="105" w:type="dxa"/>
              <w:start w:w="115" w:type="dxa"/>
              <w:bottom w:w="105" w:type="dxa"/>
              <w:end w:w="115" w:type="dxa"/>
            </w:tcMar>
            <w:shd w:fill="EAF3F5"/>
          </w:tcPr>
          <w:p>
            <w:r/>
            <w:r>
              <w:rPr>
                <w:rFonts w:ascii="Aptos" w:hAnsi="Aptos" w:eastAsia="Aptos"/>
                <w:b/>
                <w:i w:val="0"/>
                <w:color w:val="143A52"/>
                <w:sz w:val="18"/>
              </w:rPr>
              <w:t>City / postal area</w:t>
            </w:r>
          </w:p>
        </w:tc>
        <w:tc>
          <w:tcPr>
            <w:tcW w:type="dxa" w:w="6633"/>
            <w:tcMar>
              <w:top w:w="105" w:type="dxa"/>
              <w:start w:w="115" w:type="dxa"/>
              <w:bottom w:w="105" w:type="dxa"/>
              <w:end w:w="115" w:type="dxa"/>
            </w:tcMar>
          </w:tcPr>
          <w:p>
            <w:r/>
            <w:r>
              <w:rPr>
                <w:rFonts w:ascii="Aptos" w:hAnsi="Aptos" w:eastAsia="Aptos"/>
                <w:b w:val="0"/>
                <w:i w:val="0"/>
                <w:color w:val="20313B"/>
                <w:sz w:val="19"/>
              </w:rPr>
              <w:t>Sofia 1463, Bulgaria</w:t>
            </w:r>
          </w:p>
        </w:tc>
      </w:tr>
      <w:tr>
        <w:tc>
          <w:tcPr>
            <w:tcW w:type="dxa" w:w="2835"/>
            <w:tcMar>
              <w:top w:w="105" w:type="dxa"/>
              <w:start w:w="115" w:type="dxa"/>
              <w:bottom w:w="105" w:type="dxa"/>
              <w:end w:w="115" w:type="dxa"/>
            </w:tcMar>
            <w:shd w:fill="EAF3F5"/>
          </w:tcPr>
          <w:p>
            <w:r/>
            <w:r>
              <w:rPr>
                <w:rFonts w:ascii="Aptos" w:hAnsi="Aptos" w:eastAsia="Aptos"/>
                <w:b/>
                <w:i w:val="0"/>
                <w:color w:val="143A52"/>
                <w:sz w:val="18"/>
              </w:rPr>
              <w:t>Postal correspondence</w:t>
            </w:r>
          </w:p>
        </w:tc>
        <w:tc>
          <w:tcPr>
            <w:tcW w:type="dxa" w:w="6633"/>
            <w:tcMar>
              <w:top w:w="105" w:type="dxa"/>
              <w:start w:w="115" w:type="dxa"/>
              <w:bottom w:w="105" w:type="dxa"/>
              <w:end w:w="115" w:type="dxa"/>
            </w:tcMar>
          </w:tcPr>
          <w:p>
            <w:r/>
            <w:r>
              <w:rPr>
                <w:rFonts w:ascii="Aptos" w:hAnsi="Aptos" w:eastAsia="Aptos"/>
                <w:b w:val="0"/>
                <w:i w:val="0"/>
                <w:color w:val="20313B"/>
                <w:sz w:val="19"/>
              </w:rPr>
              <w:t>P.O. Box 143</w:t>
            </w:r>
          </w:p>
        </w:tc>
      </w:tr>
      <w:tr>
        <w:tc>
          <w:tcPr>
            <w:tcW w:type="dxa" w:w="2835"/>
            <w:tcMar>
              <w:top w:w="105" w:type="dxa"/>
              <w:start w:w="115" w:type="dxa"/>
              <w:bottom w:w="105" w:type="dxa"/>
              <w:end w:w="115" w:type="dxa"/>
            </w:tcMar>
            <w:shd w:fill="EAF3F5"/>
          </w:tcPr>
          <w:p>
            <w:r/>
            <w:r>
              <w:rPr>
                <w:rFonts w:ascii="Aptos" w:hAnsi="Aptos" w:eastAsia="Aptos"/>
                <w:b/>
                <w:i w:val="0"/>
                <w:color w:val="143A52"/>
                <w:sz w:val="18"/>
              </w:rPr>
              <w:t>Website</w:t>
            </w:r>
          </w:p>
        </w:tc>
        <w:tc>
          <w:tcPr>
            <w:tcW w:type="dxa" w:w="6633"/>
            <w:tcMar>
              <w:top w:w="105" w:type="dxa"/>
              <w:start w:w="115" w:type="dxa"/>
              <w:bottom w:w="105" w:type="dxa"/>
              <w:end w:w="115" w:type="dxa"/>
            </w:tcMar>
          </w:tcPr>
          <w:p>
            <w:r/>
            <w:r>
              <w:rPr>
                <w:rFonts w:ascii="Aptos" w:hAnsi="Aptos" w:eastAsia="Aptos"/>
                <w:b w:val="0"/>
                <w:i w:val="0"/>
                <w:color w:val="20313B"/>
                <w:sz w:val="19"/>
              </w:rPr>
              <w:t>www.tksi.org</w:t>
            </w:r>
          </w:p>
        </w:tc>
      </w:tr>
      <w:tr>
        <w:tc>
          <w:tcPr>
            <w:tcW w:type="dxa" w:w="2835"/>
            <w:tcMar>
              <w:top w:w="105" w:type="dxa"/>
              <w:start w:w="115" w:type="dxa"/>
              <w:bottom w:w="105" w:type="dxa"/>
              <w:end w:w="115" w:type="dxa"/>
            </w:tcMar>
            <w:shd w:fill="EAF3F5"/>
          </w:tcPr>
          <w:p>
            <w:r/>
            <w:r>
              <w:rPr>
                <w:rFonts w:ascii="Aptos" w:hAnsi="Aptos" w:eastAsia="Aptos"/>
                <w:b/>
                <w:i w:val="0"/>
                <w:color w:val="143A52"/>
                <w:sz w:val="18"/>
              </w:rPr>
              <w:t>Editorial email</w:t>
            </w:r>
          </w:p>
        </w:tc>
        <w:tc>
          <w:tcPr>
            <w:tcW w:type="dxa" w:w="6633"/>
            <w:tcMar>
              <w:top w:w="105" w:type="dxa"/>
              <w:start w:w="115" w:type="dxa"/>
              <w:bottom w:w="105" w:type="dxa"/>
              <w:end w:w="115" w:type="dxa"/>
            </w:tcMar>
          </w:tcPr>
          <w:p>
            <w:r/>
            <w:r>
              <w:rPr>
                <w:rFonts w:ascii="Aptos" w:hAnsi="Aptos" w:eastAsia="Aptos"/>
                <w:b w:val="0"/>
                <w:i w:val="0"/>
                <w:color w:val="20313B"/>
                <w:sz w:val="19"/>
              </w:rPr>
              <w:t>office@tksi.org</w:t>
            </w:r>
          </w:p>
        </w:tc>
      </w:tr>
      <w:tr>
        <w:tc>
          <w:tcPr>
            <w:tcW w:type="dxa" w:w="2835"/>
            <w:tcMar>
              <w:top w:w="105" w:type="dxa"/>
              <w:start w:w="115" w:type="dxa"/>
              <w:bottom w:w="105" w:type="dxa"/>
              <w:end w:w="115" w:type="dxa"/>
            </w:tcMar>
            <w:shd w:fill="EAF3F5"/>
          </w:tcPr>
          <w:p>
            <w:r/>
            <w:r>
              <w:rPr>
                <w:rFonts w:ascii="Aptos" w:hAnsi="Aptos" w:eastAsia="Aptos"/>
                <w:b/>
                <w:i w:val="0"/>
                <w:color w:val="143A52"/>
                <w:sz w:val="18"/>
              </w:rPr>
              <w:t>Print ISSN</w:t>
            </w:r>
          </w:p>
        </w:tc>
        <w:tc>
          <w:tcPr>
            <w:tcW w:type="dxa" w:w="6633"/>
            <w:tcMar>
              <w:top w:w="105" w:type="dxa"/>
              <w:start w:w="115" w:type="dxa"/>
              <w:bottom w:w="105" w:type="dxa"/>
              <w:end w:w="115" w:type="dxa"/>
            </w:tcMar>
          </w:tcPr>
          <w:p>
            <w:r/>
            <w:r>
              <w:rPr>
                <w:rFonts w:ascii="Aptos" w:hAnsi="Aptos" w:eastAsia="Aptos"/>
                <w:b w:val="0"/>
                <w:i w:val="0"/>
                <w:color w:val="20313B"/>
                <w:sz w:val="19"/>
              </w:rPr>
              <w:t>1313-4787</w:t>
            </w:r>
          </w:p>
        </w:tc>
      </w:tr>
      <w:tr>
        <w:tc>
          <w:tcPr>
            <w:tcW w:type="dxa" w:w="2835"/>
            <w:tcMar>
              <w:top w:w="105" w:type="dxa"/>
              <w:start w:w="115" w:type="dxa"/>
              <w:bottom w:w="105" w:type="dxa"/>
              <w:end w:w="115" w:type="dxa"/>
            </w:tcMar>
            <w:shd w:fill="EAF3F5"/>
          </w:tcPr>
          <w:p>
            <w:r/>
            <w:r>
              <w:rPr>
                <w:rFonts w:ascii="Aptos" w:hAnsi="Aptos" w:eastAsia="Aptos"/>
                <w:b/>
                <w:i w:val="0"/>
                <w:color w:val="143A52"/>
                <w:sz w:val="18"/>
              </w:rPr>
              <w:t>Online ISSN</w:t>
            </w:r>
          </w:p>
        </w:tc>
        <w:tc>
          <w:tcPr>
            <w:tcW w:type="dxa" w:w="6633"/>
            <w:tcMar>
              <w:top w:w="105" w:type="dxa"/>
              <w:start w:w="115" w:type="dxa"/>
              <w:bottom w:w="105" w:type="dxa"/>
              <w:end w:w="115" w:type="dxa"/>
            </w:tcMar>
          </w:tcPr>
          <w:p>
            <w:r/>
            <w:r>
              <w:rPr>
                <w:rFonts w:ascii="Aptos" w:hAnsi="Aptos" w:eastAsia="Aptos"/>
                <w:b w:val="0"/>
                <w:i w:val="0"/>
                <w:color w:val="20313B"/>
                <w:sz w:val="19"/>
              </w:rPr>
              <w:t>2367-5403</w:t>
            </w:r>
          </w:p>
        </w:tc>
      </w:tr>
    </w:tbl>
    <w:p>
      <w:pPr>
        <w:pStyle w:val="Heading1"/>
      </w:pPr>
      <w:r>
        <w:t>Publishing Responsibility</w:t>
      </w:r>
    </w:p>
    <w:p>
      <w:r>
        <w:rPr>
          <w:rFonts w:ascii="Aptos" w:hAnsi="Aptos" w:eastAsia="Aptos"/>
          <w:b w:val="0"/>
          <w:i w:val="0"/>
          <w:color w:val="20313B"/>
          <w:sz w:val="20"/>
        </w:rPr>
        <w:t>The Knowledge Society Institute is responsible for the publication and maintenance of KSI Transactions on Knowledge Society, including editorial administration, production, online presentation and the journal archive. Scholarly editorial decisions are made according to the journal’s Peer Review Policy, Publication Ethics and other publicly available editorial policies.</w:t>
      </w:r>
    </w:p>
    <w:p>
      <w:r>
        <w:rPr>
          <w:rFonts w:ascii="Aptos" w:hAnsi="Aptos" w:eastAsia="Aptos"/>
          <w:b w:val="0"/>
          <w:i w:val="0"/>
          <w:color w:val="20313B"/>
          <w:sz w:val="20"/>
        </w:rPr>
        <w:t>The publisher provides organisational and technical support for the editorial process. Manuscript acceptance and rejection are determined on scientific and ethical grounds, without financial influence or preferential treatment for authors affiliated with the publisher or editorial bodies.</w:t>
      </w:r>
    </w:p>
    <w:p>
      <w:pPr>
        <w:pStyle w:val="Heading1"/>
      </w:pPr>
      <w:r>
        <w:t>Publishing Model and Financial Support</w:t>
      </w:r>
    </w:p>
    <w:p>
      <w:r>
        <w:rPr>
          <w:rFonts w:ascii="Aptos" w:hAnsi="Aptos" w:eastAsia="Aptos"/>
          <w:b w:val="0"/>
          <w:i w:val="0"/>
          <w:color w:val="20313B"/>
          <w:sz w:val="20"/>
        </w:rPr>
        <w:t>KSI Transactions on Knowledge Society follows a Diamond Open Access model. All costs associated with editorial management, administration of peer review, production, website maintenance and publication are covered by the Knowledge Society Institute from the publisher’s own resources.</w:t>
      </w:r>
    </w:p>
    <w:p>
      <w:r>
        <w:rPr>
          <w:rFonts w:ascii="Aptos" w:hAnsi="Aptos" w:eastAsia="Aptos"/>
          <w:b w:val="0"/>
          <w:i w:val="0"/>
          <w:color w:val="20313B"/>
          <w:sz w:val="20"/>
        </w:rPr>
        <w:t>The journal does not charge article processing charges (APCs), submission, peer-review, editorial-handling, page, colour-figure or publication fees. Readers can access scholarly articles online without payment, subscription or registration. The detailed conditions are described in the Publication Fees and Open Access Policy pages.</w:t>
      </w:r>
    </w:p>
    <w:p>
      <w:pPr>
        <w:pStyle w:val="Heading1"/>
      </w:pPr>
      <w:r>
        <w:t>Copyright and Open Licensing</w:t>
      </w:r>
    </w:p>
    <w:p>
      <w:r>
        <w:rPr>
          <w:rFonts w:ascii="Aptos" w:hAnsi="Aptos" w:eastAsia="Aptos"/>
          <w:b w:val="0"/>
          <w:i w:val="0"/>
          <w:color w:val="20313B"/>
          <w:sz w:val="20"/>
        </w:rPr>
        <w:t>Authors or other lawful rights holders retain copyright. Scholarly articles first published on or after 1 January 2026 are made available under the Creative Commons Attribution 4.0 International License (CC BY 4.0), subject to appropriately identified exceptions for third-party content. Licensing information is shown on each applicable article page and in the article full text. Earlier publications retain the rights and licences originally applicable to them unless properly authorised changes are made.</w:t>
      </w:r>
    </w:p>
    <w:p>
      <w:pPr>
        <w:pStyle w:val="Heading1"/>
      </w:pPr>
      <w:r>
        <w:t>Preservation and Transparency</w:t>
      </w:r>
    </w:p>
    <w:p>
      <w:r>
        <w:rPr>
          <w:rFonts w:ascii="Aptos" w:hAnsi="Aptos" w:eastAsia="Aptos"/>
          <w:b w:val="0"/>
          <w:i w:val="0"/>
          <w:color w:val="20313B"/>
          <w:sz w:val="20"/>
        </w:rPr>
        <w:t>The publisher maintains the journal’s digital record and is responsible for implementing the measures described in the Digital Preservation and Archiving Policy. Internal backups and any independently operated preservation services are identified accurately; the journal does not claim use of an external archiving provider unless deposits are active and verifiable.</w:t>
      </w:r>
    </w:p>
    <w:p>
      <w:r>
        <w:rPr>
          <w:rFonts w:ascii="Aptos" w:hAnsi="Aptos" w:eastAsia="Aptos"/>
          <w:b w:val="0"/>
          <w:i w:val="0"/>
          <w:color w:val="20313B"/>
          <w:sz w:val="20"/>
        </w:rPr>
        <w:t>The journal publishes information on its editorial board, manuscript preparation, peer review, author rights, publication fees, research integrity, corrections and retractions. Published articles are accessible individually through their journal webpages and through issue archives.</w:t>
      </w:r>
    </w:p>
    <w:p>
      <w:pPr>
        <w:pStyle w:val="Heading1"/>
      </w:pPr>
      <w:r>
        <w:t>Contact</w:t>
      </w:r>
    </w:p>
    <w:p>
      <w:r>
        <w:rPr>
          <w:rFonts w:ascii="Aptos" w:hAnsi="Aptos" w:eastAsia="Aptos"/>
          <w:b w:val="0"/>
          <w:i w:val="0"/>
          <w:color w:val="20313B"/>
          <w:sz w:val="20"/>
        </w:rPr>
        <w:t>Knowledge Society Institute</w:t>
      </w:r>
    </w:p>
    <w:p>
      <w:r>
        <w:rPr>
          <w:rFonts w:ascii="Aptos" w:hAnsi="Aptos" w:eastAsia="Aptos"/>
          <w:b w:val="0"/>
          <w:i w:val="0"/>
          <w:color w:val="20313B"/>
          <w:sz w:val="20"/>
        </w:rPr>
        <w:t>KSI Transactions on Knowledge Society · P.O. Box 143 · Sofia 1463 · Bulgaria</w:t>
      </w:r>
    </w:p>
    <w:p>
      <w:r>
        <w:rPr>
          <w:rFonts w:ascii="Aptos" w:hAnsi="Aptos" w:eastAsia="Aptos"/>
          <w:b w:val="0"/>
          <w:i w:val="0"/>
          <w:color w:val="20313B"/>
          <w:sz w:val="20"/>
        </w:rPr>
        <w:t>Email: office@tksi.org   |   Website: www.tksi.org</w:t>
      </w:r>
    </w:p>
    <w:sectPr w:rsidR="00FC693F" w:rsidRPr="0006063C" w:rsidSect="00034616">
      <w:headerReference w:type="default" r:id="rId9"/>
      <w:footerReference w:type="default" r:id="rId10"/>
      <w:pgSz w:w="11906" w:h="16838"/>
      <w:pgMar w:top="1332" w:right="1219" w:bottom="1134" w:left="1219" w:header="482"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b w:val="0"/>
        <w:i w:val="0"/>
        <w:color w:val="5C6D79"/>
        <w:sz w:val="16"/>
      </w:rPr>
      <w:t>KNOWLEDGE SOCIETY INSTITUTE   |   www.tksi.org   |   office@tksi.org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eastAsia="Aptos"/>
        <w:b/>
        <w:i w:val="0"/>
        <w:color w:val="143A52"/>
        <w:sz w:val="16"/>
      </w:rPr>
      <w:t>KSI  /  TRANSACTIONS ON KNOWLEDGE SOCIETY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4" w:lineRule="auto"/>
    </w:pPr>
    <w:rPr>
      <w:rFonts w:ascii="Aptos" w:hAnsi="Aptos"/>
      <w:color w:val="2031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ptos" w:hAnsi="Aptos"/>
      <w:b/>
      <w:bCs/>
      <w:color w:val="143A52"/>
      <w:sz w:val="2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w:hAnsi="Aptos"/>
      <w:b/>
      <w:bCs/>
      <w:color w:val="006F7C"/>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143A52"/>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